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  <w:r>
        <w:rPr>
          <w:rFonts w:ascii="Arial" w:eastAsia="Times New Roman" w:hAnsi="Arial" w:cs="Times New Roman"/>
          <w:color w:val="808080"/>
          <w:sz w:val="16"/>
          <w:szCs w:val="18"/>
          <w:lang w:val="it"/>
        </w:rPr>
        <w:t xml:space="preserve"> </w:t>
      </w: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21"/>
          <w:szCs w:val="24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5"/>
          <w:szCs w:val="24"/>
        </w:rPr>
      </w:pPr>
    </w:p>
    <w:p w:rsidR="00DB79E7" w:rsidRPr="00DB79E7" w:rsidRDefault="00CE26DC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40"/>
          <w:szCs w:val="24"/>
        </w:rPr>
      </w:pPr>
      <w:r>
        <w:rPr>
          <w:rFonts w:ascii="Arial" w:hAnsi="Arial" w:cs="Arial"/>
          <w:b/>
          <w:bCs/>
          <w:noProof/>
          <w:color w:val="007DC5"/>
          <w:sz w:val="36"/>
          <w:lang w:eastAsia="de-DE"/>
        </w:rPr>
        <w:drawing>
          <wp:inline distT="0" distB="0" distL="0" distR="0" wp14:anchorId="53E1AB7D" wp14:editId="137CAE7C">
            <wp:extent cx="1117600" cy="1276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S-2000_firmware_Topcon copy.jpg"/>
                    <pic:cNvPicPr/>
                  </pic:nvPicPr>
                  <pic:blipFill rotWithShape="1">
                    <a:blip r:embed="rId6"/>
                    <a:srcRect t="10733" b="13149"/>
                    <a:stretch/>
                  </pic:blipFill>
                  <pic:spPr bwMode="auto">
                    <a:xfrm>
                      <a:off x="0" y="0"/>
                      <a:ext cx="1127839" cy="1287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79E7" w:rsidRPr="001D3C1B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3"/>
          <w:szCs w:val="24"/>
          <w:lang w:val="it-IT"/>
        </w:rPr>
      </w:pPr>
    </w:p>
    <w:p w:rsidR="00CE26DC" w:rsidRPr="00CE26DC" w:rsidRDefault="00CE26DC" w:rsidP="00CE26D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</w:pPr>
      <w:r w:rsidRPr="00CE26DC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 xml:space="preserve">L’aggiornamento dello scanner Topcon GLS-2000 potenzia la raccolta dati nelle applicazioni </w:t>
      </w:r>
    </w:p>
    <w:p w:rsidR="00CE26DC" w:rsidRPr="00CE26DC" w:rsidRDefault="00CE26DC" w:rsidP="00CE26DC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36"/>
          <w:szCs w:val="24"/>
          <w:lang w:val="it-IT"/>
        </w:rPr>
      </w:pPr>
      <w:r w:rsidRPr="00CE26DC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>sulle costruzioni verticali</w:t>
      </w:r>
    </w:p>
    <w:p w:rsidR="00CE26DC" w:rsidRPr="00CE26DC" w:rsidRDefault="00CE26DC" w:rsidP="00CE26DC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3"/>
          <w:szCs w:val="24"/>
          <w:lang w:val="it-IT"/>
        </w:rPr>
      </w:pP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CE26DC">
        <w:rPr>
          <w:rFonts w:ascii="Arial" w:eastAsia="Times New Roman" w:hAnsi="Arial" w:cs="Arial"/>
          <w:i/>
          <w:sz w:val="24"/>
          <w:szCs w:val="20"/>
          <w:lang w:val="it-IT"/>
        </w:rPr>
        <w:t xml:space="preserve">LIVERMORE, </w:t>
      </w:r>
      <w:proofErr w:type="spellStart"/>
      <w:r w:rsidRPr="00CE26DC">
        <w:rPr>
          <w:rFonts w:ascii="Arial" w:eastAsia="Times New Roman" w:hAnsi="Arial" w:cs="Arial"/>
          <w:i/>
          <w:sz w:val="24"/>
          <w:szCs w:val="20"/>
          <w:lang w:val="it-IT"/>
        </w:rPr>
        <w:t>Calif</w:t>
      </w:r>
      <w:proofErr w:type="spellEnd"/>
      <w:r w:rsidRPr="00CE26DC">
        <w:rPr>
          <w:rFonts w:ascii="Arial" w:eastAsia="Times New Roman" w:hAnsi="Arial" w:cs="Arial"/>
          <w:i/>
          <w:sz w:val="24"/>
          <w:szCs w:val="20"/>
          <w:lang w:val="it-IT"/>
        </w:rPr>
        <w:t xml:space="preserve">., U.S./ CAPELLE A/D IJSSEL, Paesi Bassi –15 novembre 2018 – </w:t>
      </w:r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Topcon Positioning Group annuncia un nuovo aggiornamento firmware per lo scanner </w:t>
      </w:r>
      <w:hyperlink r:id="rId7" w:history="1">
        <w:r w:rsidRPr="00CE26DC"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-IT"/>
          </w:rPr>
          <w:t>GLS-2000</w:t>
        </w:r>
      </w:hyperlink>
      <w:r w:rsidRPr="00CE26DC">
        <w:rPr>
          <w:rFonts w:ascii="Arial" w:eastAsia="Times New Roman" w:hAnsi="Arial" w:cs="Arial"/>
          <w:color w:val="0000FF"/>
          <w:sz w:val="24"/>
          <w:szCs w:val="20"/>
          <w:u w:val="single"/>
          <w:lang w:val="it-IT"/>
        </w:rPr>
        <w:t>,</w:t>
      </w:r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 progettato per potenziare le sue applicazioni sulle costruzioni verticali, oltre ad offrire un flusso di lavoro per la modellazione semiautomatica e la validazione delle costruzioni. Il firmware include una nuova impostazione che consente di catturare gli oggetti degli interni delle costruzioni verticali con un elevato grado di dettaglio. </w:t>
      </w: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“La nuova caratteristica creata su misura per il </w:t>
      </w:r>
      <w:proofErr w:type="spellStart"/>
      <w:r w:rsidRPr="00CE26DC">
        <w:rPr>
          <w:rFonts w:ascii="Arial" w:eastAsia="Times New Roman" w:hAnsi="Arial" w:cs="Arial"/>
          <w:i/>
          <w:sz w:val="24"/>
          <w:szCs w:val="20"/>
          <w:lang w:val="it-IT"/>
        </w:rPr>
        <w:t>digital-construction</w:t>
      </w:r>
      <w:proofErr w:type="spellEnd"/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, dal nome ‘Close High Power’, è perfetta per le applicazioni verticali e offre dati dettagliati di HVAC, tubazioni e oggetti prevalentemente metallici, necessari per la modellazione degli interni,” ha affermato Ray </w:t>
      </w:r>
      <w:proofErr w:type="spellStart"/>
      <w:r w:rsidRPr="00CE26DC">
        <w:rPr>
          <w:rFonts w:ascii="Arial" w:eastAsia="Times New Roman" w:hAnsi="Arial" w:cs="Arial"/>
          <w:sz w:val="24"/>
          <w:szCs w:val="20"/>
          <w:lang w:val="it-IT"/>
        </w:rPr>
        <w:t>Kerwin</w:t>
      </w:r>
      <w:proofErr w:type="spellEnd"/>
      <w:r w:rsidRPr="00CE26DC">
        <w:rPr>
          <w:rFonts w:ascii="Arial" w:eastAsia="Times New Roman" w:hAnsi="Arial" w:cs="Arial"/>
          <w:sz w:val="24"/>
          <w:szCs w:val="20"/>
          <w:lang w:val="it-IT"/>
        </w:rPr>
        <w:t>, direttore dei prodotti di rilevamento globale.</w:t>
      </w: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CE26DC">
        <w:rPr>
          <w:rFonts w:ascii="Arial" w:eastAsia="Times New Roman" w:hAnsi="Arial" w:cs="Arial"/>
          <w:sz w:val="24"/>
          <w:szCs w:val="20"/>
          <w:lang w:val="it-IT"/>
        </w:rPr>
        <w:t>I dati rilevati con le nuove impostazioni sono orientati all’integrazione continua nei flussi di lavoro del software per costruzioni verticali.</w:t>
      </w: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“Con la nuova caratteristica, gli operatori possono facilmente catturare informazioni dettagliate sul campo, elaborarle in </w:t>
      </w:r>
      <w:hyperlink r:id="rId8" w:history="1">
        <w:r w:rsidRPr="00CE26DC"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-IT"/>
          </w:rPr>
          <w:t>MAGNET Collage</w:t>
        </w:r>
      </w:hyperlink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 e usare i dati cloud nel software </w:t>
      </w:r>
      <w:proofErr w:type="spellStart"/>
      <w:r w:rsidRPr="00CE26DC">
        <w:rPr>
          <w:rFonts w:ascii="Arial" w:eastAsia="Times New Roman" w:hAnsi="Arial" w:cs="Arial"/>
          <w:sz w:val="24"/>
          <w:szCs w:val="20"/>
          <w:lang w:val="it-IT"/>
        </w:rPr>
        <w:t>Edgewise</w:t>
      </w:r>
      <w:proofErr w:type="spellEnd"/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 o </w:t>
      </w:r>
      <w:proofErr w:type="spellStart"/>
      <w:r w:rsidRPr="00CE26DC">
        <w:rPr>
          <w:rFonts w:ascii="Arial" w:eastAsia="Times New Roman" w:hAnsi="Arial" w:cs="Arial"/>
          <w:sz w:val="24"/>
          <w:szCs w:val="20"/>
          <w:lang w:val="it-IT"/>
        </w:rPr>
        <w:t>Verity</w:t>
      </w:r>
      <w:proofErr w:type="spellEnd"/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 di ClearEdge3D,” ha affermato </w:t>
      </w:r>
      <w:proofErr w:type="spellStart"/>
      <w:r w:rsidRPr="00CE26DC">
        <w:rPr>
          <w:rFonts w:ascii="Arial" w:eastAsia="Times New Roman" w:hAnsi="Arial" w:cs="Arial"/>
          <w:sz w:val="24"/>
          <w:szCs w:val="20"/>
          <w:lang w:val="it-IT"/>
        </w:rPr>
        <w:t>Kerwin</w:t>
      </w:r>
      <w:proofErr w:type="spellEnd"/>
      <w:r w:rsidRPr="00CE26DC">
        <w:rPr>
          <w:rFonts w:ascii="Arial" w:eastAsia="Times New Roman" w:hAnsi="Arial" w:cs="Arial"/>
          <w:sz w:val="24"/>
          <w:szCs w:val="20"/>
          <w:lang w:val="it-IT"/>
        </w:rPr>
        <w:t>. “Questa integrazione completa un flusso di lavoro ottimizzato ‘end-to-end’ dall’hardware del GLS-2000 al software, per la modellazione semiautomatica e la validazione delle costruzioni.”</w:t>
      </w: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CE26DC">
        <w:rPr>
          <w:rFonts w:ascii="Arial" w:eastAsia="Times New Roman" w:hAnsi="Arial" w:cs="Arial"/>
          <w:sz w:val="24"/>
          <w:szCs w:val="20"/>
          <w:lang w:val="it-IT"/>
        </w:rPr>
        <w:t>Ulteriori caratteristiche includono la capacità di scansionare e centrare in cantiere, i prismi Topcon per applicazioni robotiche della serie ATP, il che consente agli operatori di puntare da qualsiasi angolo senza spostarsi per andare a ruotare il prisma, oltre a offrire il 30% di velocità in più nella scansione del target.</w:t>
      </w: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L’upgrade del firmware è disponibile per tutti i modelli GLS-2000. </w:t>
      </w:r>
    </w:p>
    <w:p w:rsidR="00CE26DC" w:rsidRPr="00CE26DC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DB79E7" w:rsidRPr="00AC6C05" w:rsidRDefault="00CE26DC" w:rsidP="00CE26DC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CE26DC">
        <w:rPr>
          <w:rFonts w:ascii="Arial" w:eastAsia="Times New Roman" w:hAnsi="Arial" w:cs="Arial"/>
          <w:sz w:val="24"/>
          <w:szCs w:val="20"/>
          <w:lang w:val="it-IT"/>
        </w:rPr>
        <w:t xml:space="preserve">Per maggiori informazioni, visitare il sito </w:t>
      </w:r>
      <w:hyperlink r:id="rId9" w:history="1">
        <w:r w:rsidRPr="00CE26DC"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-IT"/>
          </w:rPr>
          <w:t>topconpositioning.com</w:t>
        </w:r>
      </w:hyperlink>
      <w:r w:rsidRPr="00CE26DC">
        <w:rPr>
          <w:rFonts w:ascii="Arial" w:eastAsia="Times New Roman" w:hAnsi="Arial" w:cs="Arial"/>
          <w:sz w:val="24"/>
          <w:szCs w:val="20"/>
          <w:lang w:val="it-IT"/>
        </w:rPr>
        <w:t>.</w:t>
      </w:r>
    </w:p>
    <w:p w:rsidR="00DB79E7" w:rsidRPr="00AC6C05" w:rsidRDefault="00DB79E7" w:rsidP="00DB79E7">
      <w:pPr>
        <w:spacing w:after="0" w:line="240" w:lineRule="auto"/>
        <w:rPr>
          <w:rFonts w:ascii="Arial" w:eastAsia="Times New Roman" w:hAnsi="Arial" w:cs="Arial"/>
          <w:b/>
          <w:color w:val="808080"/>
          <w:szCs w:val="18"/>
          <w:lang w:val="it-IT"/>
        </w:rPr>
      </w:pPr>
    </w:p>
    <w:p w:rsidR="00CE26DC" w:rsidRDefault="00CE26DC" w:rsidP="00DB79E7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</w:pPr>
    </w:p>
    <w:p w:rsidR="00CE26DC" w:rsidRDefault="00CE26DC" w:rsidP="00DB79E7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</w:pPr>
    </w:p>
    <w:p w:rsidR="00CE26DC" w:rsidRDefault="00CE26DC" w:rsidP="00DB79E7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</w:pPr>
    </w:p>
    <w:p w:rsidR="00DB79E7" w:rsidRPr="00AC6C05" w:rsidRDefault="007924E0" w:rsidP="00DB79E7">
      <w:pPr>
        <w:spacing w:after="0" w:line="240" w:lineRule="auto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lastRenderedPageBreak/>
        <w:t>Chi è</w:t>
      </w:r>
      <w:r w:rsidR="00DB79E7"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 xml:space="preserve"> Topcon Positioning </w:t>
      </w: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>Group</w:t>
      </w:r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br/>
        <w:t>Il gruppo Topcon Positioning ha il suo quartier generale a Livermore, in California, USA (</w:t>
      </w:r>
      <w:hyperlink r:id="rId10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topconpositioning.com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>). La sua sede centrale europea si trova a Capelle a/d IJssel, Paesi Bassi. Il gruppo Topcon Positioning progetta, produce e commercializza soluzioni di precisione per la misurazione e i flussi di lavoro desinati ai mercati globali dell’edilizia, dei sistemi geospaziali e dell’agricoltura. Fra i suoi marchi, si annoverano: Topcon, Sokkia, Tierra, Digi-Star, RDS Technology e NORAC. Topcon Corporation (</w:t>
      </w:r>
      <w:hyperlink r:id="rId11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>), fondata nel 1932, è quotata alla Borsa di Tokyo (7732). </w:t>
      </w:r>
    </w:p>
    <w:p w:rsidR="00DB79E7" w:rsidRPr="00AC6C05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# # #</w:t>
      </w: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 xml:space="preserve">Contatti stampa: </w:t>
      </w: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Topcon Positioning Group</w:t>
      </w:r>
    </w:p>
    <w:p w:rsidR="00DB79E7" w:rsidRPr="00AC6C05" w:rsidRDefault="00814DC5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hyperlink r:id="rId12" w:history="1">
        <w:r w:rsidR="00DB79E7">
          <w:rPr>
            <w:rFonts w:ascii="Arial" w:eastAsia="Times New Roman" w:hAnsi="Arial" w:cs="Arial"/>
            <w:color w:val="808080"/>
            <w:sz w:val="16"/>
            <w:szCs w:val="16"/>
            <w:u w:val="single"/>
            <w:lang w:val="it"/>
          </w:rPr>
          <w:t>CorpComm@topcon.com</w:t>
        </w:r>
      </w:hyperlink>
    </w:p>
    <w:p w:rsidR="00DB79E7" w:rsidRPr="00DB79E7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 xml:space="preserve">Staci Fitzgerald, +1 925-245-8610 </w:t>
      </w:r>
    </w:p>
    <w:p w:rsidR="00B44A0C" w:rsidRDefault="00B44A0C"/>
    <w:sectPr w:rsidR="00B44A0C" w:rsidSect="009C771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DC5" w:rsidRDefault="00814DC5">
      <w:pPr>
        <w:spacing w:after="0" w:line="240" w:lineRule="auto"/>
      </w:pPr>
      <w:r>
        <w:separator/>
      </w:r>
    </w:p>
  </w:endnote>
  <w:endnote w:type="continuationSeparator" w:id="0">
    <w:p w:rsidR="00814DC5" w:rsidRDefault="00814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DC5" w:rsidRDefault="00814DC5">
      <w:pPr>
        <w:spacing w:after="0" w:line="240" w:lineRule="auto"/>
      </w:pPr>
      <w:r>
        <w:separator/>
      </w:r>
    </w:p>
  </w:footnote>
  <w:footnote w:type="continuationSeparator" w:id="0">
    <w:p w:rsidR="00814DC5" w:rsidRDefault="00814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D37" w:rsidRPr="00EB1000" w:rsidRDefault="00DB79E7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eastAsia="de-DE"/>
      </w:rPr>
      <w:drawing>
        <wp:anchor distT="0" distB="0" distL="114300" distR="114300" simplePos="0" relativeHeight="251659264" behindDoc="1" locked="0" layoutInCell="1" allowOverlap="1" wp14:anchorId="7BFCBB6D" wp14:editId="29AF421B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D37" w:rsidRPr="00EB1000" w:rsidRDefault="00814DC5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870D37" w:rsidRPr="001A276A" w:rsidRDefault="00DB79E7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"/>
      </w:rPr>
      <w:t>COMUNICATO STAMPA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A4B"/>
    <w:rsid w:val="00065AB3"/>
    <w:rsid w:val="00126B47"/>
    <w:rsid w:val="00143102"/>
    <w:rsid w:val="001D3C1B"/>
    <w:rsid w:val="002D4EB9"/>
    <w:rsid w:val="00307A97"/>
    <w:rsid w:val="003535FC"/>
    <w:rsid w:val="00353E3E"/>
    <w:rsid w:val="005E6324"/>
    <w:rsid w:val="00621C66"/>
    <w:rsid w:val="00623B9D"/>
    <w:rsid w:val="006C11AE"/>
    <w:rsid w:val="006D129E"/>
    <w:rsid w:val="007850CA"/>
    <w:rsid w:val="007924E0"/>
    <w:rsid w:val="007B30F2"/>
    <w:rsid w:val="00814DC5"/>
    <w:rsid w:val="00874A4B"/>
    <w:rsid w:val="00A24AF3"/>
    <w:rsid w:val="00A55560"/>
    <w:rsid w:val="00AC6C05"/>
    <w:rsid w:val="00B44A0C"/>
    <w:rsid w:val="00CA28B8"/>
    <w:rsid w:val="00CE26DC"/>
    <w:rsid w:val="00DB79E7"/>
    <w:rsid w:val="00DD392B"/>
    <w:rsid w:val="00E34708"/>
    <w:rsid w:val="00F04E08"/>
    <w:rsid w:val="00F0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0D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7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79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9E7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1D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3C1B"/>
  </w:style>
  <w:style w:type="character" w:styleId="Collegamentoipertestuale">
    <w:name w:val="Hyperlink"/>
    <w:basedOn w:val="Carpredefinitoparagrafo"/>
    <w:uiPriority w:val="99"/>
    <w:unhideWhenUsed/>
    <w:rsid w:val="00065AB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65A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it/software-solutions/mass-data-mapping/magnet-collag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topconpositioning.com/it/mass-data-and-volume-collection/laser-scanners/gls-2000" TargetMode="External"/><Relationship Id="rId12" Type="http://schemas.openxmlformats.org/officeDocument/2006/relationships/hyperlink" Target="mailto:CorpComm@topcon.com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://global.topcon.com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topconpositioning.com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2018-11-30T13:58:00Z</dcterms:created>
  <dcterms:modified xsi:type="dcterms:W3CDTF">2018-11-30T13:58:00Z</dcterms:modified>
</cp:coreProperties>
</file>